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2BC7" w:rsidRDefault="00F42BC7">
      <w:pPr>
        <w:tabs>
          <w:tab w:val="center" w:pos="4680"/>
        </w:tabs>
        <w:suppressAutoHyphens/>
        <w:jc w:val="center"/>
        <w:rPr>
          <w:rFonts w:ascii="Times New Roman" w:hAnsi="Times New Roman"/>
          <w:b/>
          <w:bCs/>
        </w:rPr>
      </w:pPr>
      <w:r>
        <w:rPr>
          <w:rFonts w:ascii="Times New Roman" w:hAnsi="Times New Roman"/>
          <w:b/>
          <w:bCs/>
        </w:rPr>
        <w:t xml:space="preserve">CITY OF </w:t>
      </w:r>
      <w:smartTag w:uri="urn:schemas-microsoft-com:office:smarttags" w:element="City">
        <w:smartTag w:uri="urn:schemas-microsoft-com:office:smarttags" w:element="place">
          <w:r>
            <w:rPr>
              <w:rFonts w:ascii="Times New Roman" w:hAnsi="Times New Roman"/>
              <w:b/>
              <w:bCs/>
            </w:rPr>
            <w:t>BILOXI</w:t>
          </w:r>
        </w:smartTag>
      </w:smartTag>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F42BC7" w:rsidRDefault="00F42BC7">
      <w:pPr>
        <w:tabs>
          <w:tab w:val="left" w:pos="-720"/>
        </w:tabs>
        <w:suppressAutoHyphens/>
        <w:jc w:val="both"/>
        <w:rPr>
          <w:rFonts w:ascii="Times New Roman" w:hAnsi="Times New Roman"/>
          <w:b/>
          <w:bCs/>
        </w:rPr>
      </w:pPr>
    </w:p>
    <w:p w:rsidR="00F42BC7" w:rsidRDefault="00F42BC7">
      <w:pPr>
        <w:tabs>
          <w:tab w:val="left" w:pos="-720"/>
        </w:tabs>
        <w:suppressAutoHyphens/>
        <w:jc w:val="both"/>
        <w:rPr>
          <w:rFonts w:ascii="Times New Roman" w:hAnsi="Times New Roman"/>
          <w:b/>
          <w:bCs/>
        </w:rPr>
      </w:pPr>
      <w:r>
        <w:rPr>
          <w:rFonts w:ascii="Times New Roman" w:hAnsi="Times New Roman"/>
          <w:b/>
          <w:bCs/>
        </w:rPr>
        <w:t>SPECIAL PROVISION NO. 907-304-1                                                                   CODE:  (SP)</w:t>
      </w:r>
    </w:p>
    <w:p w:rsidR="00F42BC7" w:rsidRDefault="00F42BC7">
      <w:pPr>
        <w:tabs>
          <w:tab w:val="left" w:pos="-720"/>
        </w:tabs>
        <w:suppressAutoHyphens/>
        <w:jc w:val="both"/>
        <w:rPr>
          <w:rFonts w:ascii="Times New Roman" w:hAnsi="Times New Roman"/>
          <w:b/>
          <w:bCs/>
        </w:rPr>
      </w:pPr>
    </w:p>
    <w:p w:rsidR="00F42BC7" w:rsidRDefault="00F42BC7">
      <w:pPr>
        <w:tabs>
          <w:tab w:val="left" w:pos="-720"/>
        </w:tabs>
        <w:suppressAutoHyphens/>
        <w:jc w:val="both"/>
        <w:rPr>
          <w:rFonts w:ascii="Times New Roman" w:hAnsi="Times New Roman"/>
          <w:b/>
          <w:bCs/>
        </w:rPr>
      </w:pPr>
      <w:r>
        <w:rPr>
          <w:rFonts w:ascii="Times New Roman" w:hAnsi="Times New Roman"/>
          <w:b/>
          <w:bCs/>
        </w:rPr>
        <w:t xml:space="preserve">DATE:  </w:t>
      </w:r>
      <w:r w:rsidR="000317E7">
        <w:rPr>
          <w:rFonts w:ascii="Times New Roman" w:hAnsi="Times New Roman"/>
          <w:b/>
          <w:bCs/>
        </w:rPr>
        <w:t>06</w:t>
      </w:r>
      <w:r w:rsidR="00C4491E">
        <w:rPr>
          <w:rFonts w:ascii="Times New Roman" w:hAnsi="Times New Roman"/>
          <w:b/>
          <w:bCs/>
        </w:rPr>
        <w:t>/</w:t>
      </w:r>
      <w:r w:rsidR="00C40619">
        <w:rPr>
          <w:rFonts w:ascii="Times New Roman" w:hAnsi="Times New Roman"/>
          <w:b/>
          <w:bCs/>
        </w:rPr>
        <w:t>1</w:t>
      </w:r>
      <w:r w:rsidR="000317E7">
        <w:rPr>
          <w:rFonts w:ascii="Times New Roman" w:hAnsi="Times New Roman"/>
          <w:b/>
          <w:bCs/>
        </w:rPr>
        <w:t>5</w:t>
      </w:r>
      <w:r w:rsidR="00C4491E">
        <w:rPr>
          <w:rFonts w:ascii="Times New Roman" w:hAnsi="Times New Roman"/>
          <w:b/>
          <w:bCs/>
        </w:rPr>
        <w:t>/</w:t>
      </w:r>
      <w:r w:rsidR="000317E7">
        <w:rPr>
          <w:rFonts w:ascii="Times New Roman" w:hAnsi="Times New Roman"/>
          <w:b/>
          <w:bCs/>
        </w:rPr>
        <w:t>2017</w:t>
      </w:r>
    </w:p>
    <w:p w:rsidR="00F42BC7" w:rsidRDefault="00F42BC7">
      <w:pPr>
        <w:tabs>
          <w:tab w:val="left" w:pos="-720"/>
        </w:tabs>
        <w:suppressAutoHyphens/>
        <w:jc w:val="both"/>
        <w:rPr>
          <w:rFonts w:ascii="Times New Roman" w:hAnsi="Times New Roman"/>
          <w:b/>
          <w:bCs/>
        </w:rPr>
      </w:pPr>
    </w:p>
    <w:p w:rsidR="00F42BC7" w:rsidRDefault="00F42BC7" w:rsidP="000317E7">
      <w:pPr>
        <w:tabs>
          <w:tab w:val="left" w:pos="-720"/>
        </w:tabs>
        <w:suppressAutoHyphens/>
        <w:jc w:val="center"/>
        <w:rPr>
          <w:rFonts w:ascii="Times New Roman" w:hAnsi="Times New Roman"/>
          <w:b/>
          <w:bCs/>
        </w:rPr>
      </w:pPr>
      <w:r>
        <w:rPr>
          <w:rFonts w:ascii="Times New Roman" w:hAnsi="Times New Roman"/>
          <w:b/>
          <w:bCs/>
        </w:rPr>
        <w:t>SECTION 304 - GRANULAR COURSES</w:t>
      </w:r>
    </w:p>
    <w:p w:rsidR="00F42BC7" w:rsidRDefault="00F42BC7">
      <w:pPr>
        <w:tabs>
          <w:tab w:val="left" w:pos="-720"/>
        </w:tabs>
        <w:suppressAutoHyphens/>
        <w:jc w:val="both"/>
        <w:rPr>
          <w:rFonts w:ascii="Times New Roman" w:hAnsi="Times New Roman"/>
        </w:rPr>
      </w:pPr>
    </w:p>
    <w:p w:rsidR="008E52F5" w:rsidRDefault="008E52F5" w:rsidP="008E52F5">
      <w:pPr>
        <w:tabs>
          <w:tab w:val="left" w:pos="-720"/>
        </w:tabs>
        <w:suppressAutoHyphens/>
        <w:jc w:val="both"/>
        <w:rPr>
          <w:rFonts w:ascii="Times New Roman" w:hAnsi="Times New Roman"/>
          <w:b/>
          <w:bCs/>
        </w:rPr>
      </w:pPr>
      <w:r>
        <w:rPr>
          <w:rFonts w:ascii="Times New Roman" w:hAnsi="Times New Roman"/>
          <w:b/>
          <w:bCs/>
        </w:rPr>
        <w:t>Subsection 304.02.</w:t>
      </w:r>
      <w:r>
        <w:rPr>
          <w:rFonts w:ascii="Times New Roman" w:hAnsi="Times New Roman"/>
          <w:b/>
          <w:bCs/>
        </w:rPr>
        <w:t>1</w:t>
      </w:r>
      <w:r>
        <w:rPr>
          <w:rFonts w:ascii="Times New Roman" w:hAnsi="Times New Roman"/>
          <w:b/>
          <w:bCs/>
        </w:rPr>
        <w:t xml:space="preserve"> – </w:t>
      </w:r>
      <w:r>
        <w:rPr>
          <w:rFonts w:ascii="Times New Roman" w:hAnsi="Times New Roman"/>
          <w:b/>
          <w:bCs/>
        </w:rPr>
        <w:t>General</w:t>
      </w:r>
    </w:p>
    <w:p w:rsidR="008E52F5" w:rsidRDefault="008E52F5" w:rsidP="008E52F5">
      <w:pPr>
        <w:tabs>
          <w:tab w:val="left" w:pos="-720"/>
        </w:tabs>
        <w:suppressAutoHyphens/>
        <w:jc w:val="both"/>
        <w:rPr>
          <w:rFonts w:ascii="Times New Roman" w:hAnsi="Times New Roman"/>
          <w:b/>
          <w:bCs/>
        </w:rPr>
      </w:pPr>
    </w:p>
    <w:p w:rsidR="008E52F5" w:rsidRPr="008E52F5" w:rsidRDefault="008E52F5" w:rsidP="008E52F5">
      <w:pPr>
        <w:tabs>
          <w:tab w:val="left" w:pos="-720"/>
        </w:tabs>
        <w:suppressAutoHyphens/>
        <w:jc w:val="both"/>
        <w:rPr>
          <w:rFonts w:ascii="Times New Roman" w:hAnsi="Times New Roman"/>
          <w:bCs/>
        </w:rPr>
      </w:pPr>
      <w:r>
        <w:rPr>
          <w:rFonts w:ascii="Times New Roman" w:hAnsi="Times New Roman"/>
          <w:b/>
          <w:bCs/>
        </w:rPr>
        <w:tab/>
      </w:r>
      <w:r>
        <w:rPr>
          <w:rFonts w:ascii="Times New Roman" w:hAnsi="Times New Roman"/>
          <w:bCs/>
        </w:rPr>
        <w:t>Delete the second and third paragraphs of Subsection 304.02.1.</w:t>
      </w:r>
    </w:p>
    <w:p w:rsidR="008E52F5" w:rsidRDefault="008E52F5">
      <w:pPr>
        <w:tabs>
          <w:tab w:val="left" w:pos="-720"/>
        </w:tabs>
        <w:suppressAutoHyphens/>
        <w:jc w:val="both"/>
        <w:rPr>
          <w:rFonts w:ascii="Times New Roman" w:hAnsi="Times New Roman"/>
          <w:b/>
          <w:bCs/>
        </w:rPr>
      </w:pPr>
    </w:p>
    <w:p w:rsidR="00F42BC7" w:rsidRDefault="00F42BC7">
      <w:pPr>
        <w:tabs>
          <w:tab w:val="left" w:pos="-720"/>
        </w:tabs>
        <w:suppressAutoHyphens/>
        <w:jc w:val="both"/>
        <w:rPr>
          <w:rFonts w:ascii="Times New Roman" w:hAnsi="Times New Roman"/>
          <w:b/>
          <w:bCs/>
        </w:rPr>
      </w:pPr>
      <w:r>
        <w:rPr>
          <w:rFonts w:ascii="Times New Roman" w:hAnsi="Times New Roman"/>
          <w:b/>
          <w:bCs/>
        </w:rPr>
        <w:t>Subsection 304.02.3 – Stabilizer Aggregate</w:t>
      </w:r>
    </w:p>
    <w:p w:rsidR="00F42BC7" w:rsidRDefault="00F42BC7">
      <w:pPr>
        <w:tabs>
          <w:tab w:val="left" w:pos="-720"/>
        </w:tabs>
        <w:suppressAutoHyphens/>
        <w:jc w:val="both"/>
        <w:rPr>
          <w:rFonts w:ascii="Times New Roman" w:hAnsi="Times New Roman"/>
          <w:b/>
          <w:bCs/>
        </w:rPr>
      </w:pPr>
    </w:p>
    <w:p w:rsidR="00F42BC7" w:rsidRDefault="00F42BC7">
      <w:pPr>
        <w:tabs>
          <w:tab w:val="left" w:pos="-720"/>
        </w:tabs>
        <w:suppressAutoHyphens/>
        <w:ind w:left="720"/>
        <w:jc w:val="both"/>
        <w:rPr>
          <w:rFonts w:ascii="Times New Roman" w:hAnsi="Times New Roman"/>
        </w:rPr>
      </w:pPr>
      <w:r>
        <w:rPr>
          <w:rFonts w:ascii="Times New Roman" w:hAnsi="Times New Roman"/>
        </w:rPr>
        <w:t>After the last paragraph of Subsection 304.02.2 add the following subsection</w:t>
      </w:r>
      <w:r w:rsidR="008A7E8F">
        <w:rPr>
          <w:rFonts w:ascii="Times New Roman" w:hAnsi="Times New Roman"/>
        </w:rPr>
        <w:t>s</w:t>
      </w:r>
      <w:r>
        <w:rPr>
          <w:rFonts w:ascii="Times New Roman" w:hAnsi="Times New Roman"/>
        </w:rPr>
        <w:t>:</w:t>
      </w:r>
    </w:p>
    <w:p w:rsidR="00F42BC7" w:rsidRDefault="00F42BC7">
      <w:pPr>
        <w:tabs>
          <w:tab w:val="left" w:pos="-720"/>
        </w:tabs>
        <w:suppressAutoHyphens/>
        <w:jc w:val="both"/>
        <w:rPr>
          <w:rFonts w:ascii="Times New Roman" w:hAnsi="Times New Roman"/>
        </w:rPr>
      </w:pPr>
    </w:p>
    <w:p w:rsidR="00F42BC7" w:rsidRDefault="00F42BC7">
      <w:pPr>
        <w:tabs>
          <w:tab w:val="left" w:pos="-720"/>
        </w:tabs>
        <w:suppressAutoHyphens/>
        <w:ind w:left="1440"/>
        <w:jc w:val="both"/>
        <w:rPr>
          <w:rFonts w:ascii="Times New Roman" w:hAnsi="Times New Roman"/>
        </w:rPr>
      </w:pPr>
      <w:r w:rsidRPr="000317E7">
        <w:rPr>
          <w:rFonts w:ascii="Times New Roman" w:hAnsi="Times New Roman"/>
          <w:b/>
        </w:rPr>
        <w:t xml:space="preserve">Subsection 304.02.3 – </w:t>
      </w:r>
      <w:r w:rsidRPr="000317E7">
        <w:rPr>
          <w:rFonts w:ascii="Times New Roman" w:hAnsi="Times New Roman"/>
          <w:b/>
          <w:u w:val="single"/>
        </w:rPr>
        <w:t>Stabilizer Aggregate</w:t>
      </w:r>
      <w:r w:rsidRPr="000317E7">
        <w:rPr>
          <w:rFonts w:ascii="Times New Roman" w:hAnsi="Times New Roman"/>
          <w:b/>
        </w:rPr>
        <w:t>.</w:t>
      </w:r>
      <w:r>
        <w:rPr>
          <w:rFonts w:ascii="Times New Roman" w:hAnsi="Times New Roman"/>
        </w:rPr>
        <w:t xml:space="preserve">  Stabilizer aggregates of the kind and size specified shall meet the requirements of 703.20.</w:t>
      </w:r>
    </w:p>
    <w:p w:rsidR="00F42BC7" w:rsidRDefault="00F42BC7">
      <w:pPr>
        <w:tabs>
          <w:tab w:val="left" w:pos="-720"/>
        </w:tabs>
        <w:suppressAutoHyphens/>
        <w:ind w:left="1440"/>
        <w:jc w:val="both"/>
        <w:rPr>
          <w:rFonts w:ascii="Times New Roman" w:hAnsi="Times New Roman"/>
        </w:rPr>
      </w:pPr>
    </w:p>
    <w:p w:rsidR="00F42BC7" w:rsidRDefault="00F42BC7">
      <w:pPr>
        <w:tabs>
          <w:tab w:val="left" w:pos="-720"/>
        </w:tabs>
        <w:suppressAutoHyphens/>
        <w:ind w:left="1440"/>
        <w:jc w:val="both"/>
        <w:rPr>
          <w:rFonts w:ascii="Times New Roman" w:hAnsi="Times New Roman"/>
        </w:rPr>
      </w:pPr>
      <w:r>
        <w:rPr>
          <w:rFonts w:ascii="Times New Roman" w:hAnsi="Times New Roman"/>
        </w:rPr>
        <w:t>Size II stabilizer aggregate (gravel) shall be used under and around utility structures and as pipe bedding as directed by the City Engineer or his authorized representative.</w:t>
      </w:r>
    </w:p>
    <w:p w:rsidR="00F42BC7" w:rsidRDefault="00F42BC7">
      <w:pPr>
        <w:tabs>
          <w:tab w:val="left" w:pos="-720"/>
        </w:tabs>
        <w:suppressAutoHyphens/>
        <w:ind w:left="1440"/>
        <w:jc w:val="both"/>
        <w:rPr>
          <w:rFonts w:ascii="Times New Roman" w:hAnsi="Times New Roman"/>
        </w:rPr>
      </w:pPr>
    </w:p>
    <w:p w:rsidR="00F42BC7" w:rsidRDefault="00F42BC7">
      <w:pPr>
        <w:tabs>
          <w:tab w:val="left" w:pos="-720"/>
        </w:tabs>
        <w:suppressAutoHyphens/>
        <w:ind w:left="1440"/>
        <w:jc w:val="both"/>
        <w:rPr>
          <w:rFonts w:ascii="Times New Roman" w:hAnsi="Times New Roman"/>
        </w:rPr>
      </w:pPr>
      <w:r w:rsidRPr="000317E7">
        <w:rPr>
          <w:rFonts w:ascii="Times New Roman" w:hAnsi="Times New Roman"/>
          <w:b/>
        </w:rPr>
        <w:t xml:space="preserve">Subsection 304.02.4 - </w:t>
      </w:r>
      <w:r w:rsidRPr="000317E7">
        <w:rPr>
          <w:rFonts w:ascii="Times New Roman" w:hAnsi="Times New Roman"/>
          <w:b/>
          <w:u w:val="single"/>
        </w:rPr>
        <w:t>“610” Limestone.</w:t>
      </w:r>
      <w:r>
        <w:rPr>
          <w:rFonts w:ascii="Times New Roman" w:hAnsi="Times New Roman"/>
        </w:rPr>
        <w:t xml:space="preserve">  Limestone shall be used as a road base or subbase as indicated on the plans and specifications</w:t>
      </w:r>
      <w:r w:rsidR="00EA19EF">
        <w:rPr>
          <w:rFonts w:ascii="Times New Roman" w:hAnsi="Times New Roman"/>
        </w:rPr>
        <w:t>.</w:t>
      </w:r>
      <w:r w:rsidR="00E9666E" w:rsidRPr="00E9666E">
        <w:rPr>
          <w:rFonts w:ascii="Times New Roman" w:hAnsi="Times New Roman"/>
        </w:rPr>
        <w:t xml:space="preserve"> </w:t>
      </w:r>
      <w:r w:rsidR="00E9666E">
        <w:rPr>
          <w:rFonts w:ascii="Times New Roman" w:hAnsi="Times New Roman"/>
        </w:rPr>
        <w:t>Crushed concrete</w:t>
      </w:r>
      <w:r w:rsidR="00E44FE6">
        <w:rPr>
          <w:rFonts w:ascii="Times New Roman" w:hAnsi="Times New Roman"/>
        </w:rPr>
        <w:t xml:space="preserve"> or </w:t>
      </w:r>
      <w:proofErr w:type="spellStart"/>
      <w:r w:rsidR="00E44FE6">
        <w:rPr>
          <w:rFonts w:ascii="Times New Roman" w:hAnsi="Times New Roman"/>
        </w:rPr>
        <w:t>Calica</w:t>
      </w:r>
      <w:proofErr w:type="spellEnd"/>
      <w:r w:rsidR="00E9666E">
        <w:rPr>
          <w:rFonts w:ascii="Times New Roman" w:hAnsi="Times New Roman"/>
        </w:rPr>
        <w:t xml:space="preserve"> shall not be used as a substitute for “610” Limestone.  </w:t>
      </w:r>
      <w:r w:rsidR="00E44FE6">
        <w:rPr>
          <w:rFonts w:ascii="Times New Roman" w:hAnsi="Times New Roman"/>
        </w:rPr>
        <w:t xml:space="preserve">Limestone </w:t>
      </w:r>
      <w:r>
        <w:rPr>
          <w:rFonts w:ascii="Times New Roman" w:hAnsi="Times New Roman"/>
        </w:rPr>
        <w:t>shall meet the following gradation:</w:t>
      </w:r>
    </w:p>
    <w:p w:rsidR="00F42BC7" w:rsidRDefault="00F42BC7">
      <w:pPr>
        <w:tabs>
          <w:tab w:val="left" w:pos="-720"/>
        </w:tabs>
        <w:suppressAutoHyphens/>
        <w:ind w:left="1440"/>
        <w:jc w:val="both"/>
        <w:rPr>
          <w:rFonts w:ascii="Times New Roman" w:hAnsi="Times New Roman"/>
        </w:rPr>
      </w:pPr>
    </w:p>
    <w:p w:rsidR="00F42BC7" w:rsidRDefault="00F42BC7">
      <w:pPr>
        <w:tabs>
          <w:tab w:val="left" w:pos="-720"/>
        </w:tabs>
        <w:suppressAutoHyphens/>
        <w:ind w:left="1440"/>
        <w:jc w:val="both"/>
        <w:rPr>
          <w:rFonts w:ascii="Times New Roman" w:hAnsi="Times New Roman"/>
        </w:rPr>
      </w:pPr>
      <w:r>
        <w:rPr>
          <w:rFonts w:ascii="Times New Roman" w:hAnsi="Times New Roman"/>
        </w:rPr>
        <w:tab/>
      </w:r>
      <w:r>
        <w:rPr>
          <w:rFonts w:ascii="Times New Roman" w:hAnsi="Times New Roman"/>
        </w:rPr>
        <w:tab/>
        <w:t>PERCENT PASSING (BY WEIGHT)</w:t>
      </w:r>
    </w:p>
    <w:p w:rsidR="00F42BC7" w:rsidRDefault="00F42BC7">
      <w:pPr>
        <w:tabs>
          <w:tab w:val="left" w:pos="-720"/>
        </w:tabs>
        <w:suppressAutoHyphens/>
        <w:ind w:left="1440"/>
        <w:jc w:val="both"/>
        <w:rPr>
          <w:rFonts w:ascii="Times New Roman" w:hAnsi="Times New Roman"/>
          <w:u w:val="single"/>
        </w:rPr>
      </w:pPr>
      <w:r>
        <w:rPr>
          <w:rFonts w:ascii="Times New Roman" w:hAnsi="Times New Roman"/>
          <w:u w:val="single"/>
        </w:rPr>
        <w:t>Square Mesh Sieves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u w:val="single"/>
        </w:rPr>
        <w:t>Specification</w:t>
      </w:r>
    </w:p>
    <w:p w:rsidR="00F42BC7" w:rsidRDefault="00F42BC7">
      <w:pPr>
        <w:tabs>
          <w:tab w:val="left" w:pos="-720"/>
        </w:tabs>
        <w:suppressAutoHyphens/>
        <w:ind w:left="1440"/>
        <w:jc w:val="both"/>
        <w:rPr>
          <w:rFonts w:ascii="Times New Roman" w:hAnsi="Times New Roman"/>
        </w:rPr>
      </w:pPr>
    </w:p>
    <w:p w:rsidR="00F42BC7" w:rsidRDefault="00F42BC7">
      <w:pPr>
        <w:tabs>
          <w:tab w:val="left" w:pos="-720"/>
        </w:tabs>
        <w:suppressAutoHyphens/>
        <w:ind w:left="1440"/>
        <w:jc w:val="both"/>
        <w:rPr>
          <w:rFonts w:ascii="Times New Roman" w:hAnsi="Times New Roman"/>
        </w:rPr>
      </w:pPr>
      <w:r>
        <w:rPr>
          <w:rFonts w:ascii="Times New Roman" w:hAnsi="Times New Roman"/>
        </w:rPr>
        <w:tab/>
        <w:t>1 ½”</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100</w:t>
      </w:r>
    </w:p>
    <w:p w:rsidR="00F42BC7" w:rsidRDefault="00F42BC7">
      <w:pPr>
        <w:tabs>
          <w:tab w:val="left" w:pos="-720"/>
        </w:tabs>
        <w:suppressAutoHyphens/>
        <w:ind w:left="1440"/>
        <w:jc w:val="both"/>
        <w:rPr>
          <w:rFonts w:ascii="Times New Roman" w:hAnsi="Times New Roman"/>
        </w:rPr>
      </w:pPr>
      <w:r>
        <w:rPr>
          <w:rFonts w:ascii="Times New Roman" w:hAnsi="Times New Roman"/>
        </w:rPr>
        <w:tab/>
        <w:t>1”</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90-100</w:t>
      </w:r>
    </w:p>
    <w:p w:rsidR="00F42BC7" w:rsidRDefault="00F42BC7">
      <w:pPr>
        <w:tabs>
          <w:tab w:val="left" w:pos="-720"/>
        </w:tabs>
        <w:suppressAutoHyphens/>
        <w:ind w:left="1440"/>
        <w:jc w:val="both"/>
        <w:rPr>
          <w:rFonts w:ascii="Times New Roman" w:hAnsi="Times New Roman"/>
        </w:rPr>
      </w:pPr>
      <w:r>
        <w:rPr>
          <w:rFonts w:ascii="Times New Roman" w:hAnsi="Times New Roman"/>
        </w:rPr>
        <w:tab/>
        <w:t>¾”</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70-95</w:t>
      </w:r>
    </w:p>
    <w:p w:rsidR="00F42BC7" w:rsidRDefault="00F42BC7">
      <w:pPr>
        <w:tabs>
          <w:tab w:val="left" w:pos="-720"/>
        </w:tabs>
        <w:suppressAutoHyphens/>
        <w:ind w:left="1440"/>
        <w:jc w:val="both"/>
        <w:rPr>
          <w:rFonts w:ascii="Times New Roman" w:hAnsi="Times New Roman"/>
        </w:rPr>
      </w:pPr>
      <w:r>
        <w:rPr>
          <w:rFonts w:ascii="Times New Roman" w:hAnsi="Times New Roman"/>
        </w:rPr>
        <w:tab/>
        <w:t>½”</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p>
    <w:p w:rsidR="00F42BC7" w:rsidRDefault="00F42BC7">
      <w:pPr>
        <w:tabs>
          <w:tab w:val="left" w:pos="-720"/>
        </w:tabs>
        <w:suppressAutoHyphens/>
        <w:ind w:left="1440"/>
        <w:jc w:val="both"/>
        <w:rPr>
          <w:rFonts w:ascii="Times New Roman" w:hAnsi="Times New Roman"/>
        </w:rPr>
      </w:pPr>
      <w:r>
        <w:rPr>
          <w:rFonts w:ascii="Times New Roman" w:hAnsi="Times New Roman"/>
        </w:rPr>
        <w:tab/>
      </w:r>
      <w:r>
        <w:rPr>
          <w:rFonts w:ascii="Times New Roman" w:hAnsi="Times New Roman"/>
          <w:sz w:val="16"/>
        </w:rPr>
        <w:t>3/8</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50-80</w:t>
      </w:r>
    </w:p>
    <w:p w:rsidR="00F42BC7" w:rsidRDefault="00F42BC7">
      <w:pPr>
        <w:tabs>
          <w:tab w:val="left" w:pos="-720"/>
        </w:tabs>
        <w:suppressAutoHyphens/>
        <w:ind w:left="1440"/>
        <w:jc w:val="both"/>
        <w:rPr>
          <w:rFonts w:ascii="Times New Roman" w:hAnsi="Times New Roman"/>
        </w:rPr>
      </w:pPr>
      <w:r>
        <w:rPr>
          <w:rFonts w:ascii="Times New Roman" w:hAnsi="Times New Roman"/>
        </w:rPr>
        <w:tab/>
        <w:t>#4</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35-65</w:t>
      </w:r>
    </w:p>
    <w:p w:rsidR="00F42BC7" w:rsidRDefault="00F42BC7">
      <w:pPr>
        <w:tabs>
          <w:tab w:val="left" w:pos="-720"/>
        </w:tabs>
        <w:suppressAutoHyphens/>
        <w:ind w:left="1440"/>
        <w:jc w:val="both"/>
        <w:rPr>
          <w:rFonts w:ascii="Times New Roman" w:hAnsi="Times New Roman"/>
        </w:rPr>
      </w:pPr>
      <w:r>
        <w:rPr>
          <w:rFonts w:ascii="Times New Roman" w:hAnsi="Times New Roman"/>
        </w:rPr>
        <w:tab/>
        <w:t>#10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25-50</w:t>
      </w:r>
    </w:p>
    <w:p w:rsidR="00F42BC7" w:rsidRDefault="00F42BC7">
      <w:pPr>
        <w:tabs>
          <w:tab w:val="left" w:pos="-720"/>
        </w:tabs>
        <w:suppressAutoHyphens/>
        <w:ind w:left="1440"/>
        <w:jc w:val="both"/>
        <w:rPr>
          <w:rFonts w:ascii="Times New Roman" w:hAnsi="Times New Roman"/>
        </w:rPr>
      </w:pPr>
      <w:r>
        <w:rPr>
          <w:rFonts w:ascii="Times New Roman" w:hAnsi="Times New Roman"/>
        </w:rPr>
        <w:tab/>
        <w:t>#60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10-26</w:t>
      </w:r>
    </w:p>
    <w:p w:rsidR="00F42BC7" w:rsidRDefault="00F42BC7">
      <w:pPr>
        <w:tabs>
          <w:tab w:val="left" w:pos="-720"/>
        </w:tabs>
        <w:suppressAutoHyphens/>
        <w:ind w:left="1440"/>
        <w:jc w:val="both"/>
        <w:rPr>
          <w:rFonts w:ascii="Times New Roman" w:hAnsi="Times New Roman"/>
        </w:rPr>
      </w:pPr>
      <w:r>
        <w:rPr>
          <w:rFonts w:ascii="Times New Roman" w:hAnsi="Times New Roman"/>
        </w:rPr>
        <w:tab/>
        <w:t>#200</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4-12</w:t>
      </w:r>
    </w:p>
    <w:p w:rsidR="00C644BC" w:rsidRDefault="00C644BC" w:rsidP="00C644BC">
      <w:pPr>
        <w:tabs>
          <w:tab w:val="left" w:pos="-1710"/>
          <w:tab w:val="left" w:pos="-720"/>
        </w:tabs>
        <w:suppressAutoHyphens/>
        <w:jc w:val="both"/>
        <w:rPr>
          <w:rFonts w:ascii="Times New Roman" w:hAnsi="Times New Roman"/>
        </w:rPr>
      </w:pPr>
    </w:p>
    <w:p w:rsidR="00C644BC" w:rsidRDefault="00C644BC" w:rsidP="00C644BC">
      <w:pPr>
        <w:tabs>
          <w:tab w:val="left" w:pos="-1710"/>
          <w:tab w:val="left" w:pos="-720"/>
        </w:tabs>
        <w:suppressAutoHyphens/>
        <w:jc w:val="both"/>
        <w:rPr>
          <w:rFonts w:ascii="Times New Roman" w:hAnsi="Times New Roman"/>
          <w:b/>
          <w:bCs/>
        </w:rPr>
      </w:pPr>
    </w:p>
    <w:p w:rsidR="00F42BC7" w:rsidRDefault="00F42BC7">
      <w:pPr>
        <w:pStyle w:val="Heading1"/>
      </w:pPr>
      <w:r>
        <w:t>Subsection 304.03.</w:t>
      </w:r>
      <w:r w:rsidR="000317E7">
        <w:t>5</w:t>
      </w:r>
      <w:r>
        <w:t xml:space="preserve"> - Shaping, Compacting, and Finishing</w:t>
      </w:r>
    </w:p>
    <w:p w:rsidR="00F42BC7" w:rsidRDefault="00F42BC7">
      <w:pPr>
        <w:tabs>
          <w:tab w:val="left" w:pos="-720"/>
        </w:tabs>
        <w:suppressAutoHyphens/>
        <w:jc w:val="both"/>
        <w:rPr>
          <w:rFonts w:ascii="Times New Roman" w:hAnsi="Times New Roman"/>
        </w:rPr>
      </w:pPr>
    </w:p>
    <w:p w:rsidR="00F42BC7" w:rsidRDefault="00F42BC7">
      <w:pPr>
        <w:tabs>
          <w:tab w:val="left" w:pos="-720"/>
          <w:tab w:val="left" w:pos="0"/>
        </w:tabs>
        <w:suppressAutoHyphens/>
        <w:ind w:left="720" w:hanging="720"/>
        <w:jc w:val="both"/>
        <w:rPr>
          <w:rFonts w:ascii="Times New Roman" w:hAnsi="Times New Roman"/>
        </w:rPr>
      </w:pPr>
      <w:r>
        <w:rPr>
          <w:rFonts w:ascii="Times New Roman" w:hAnsi="Times New Roman"/>
        </w:rPr>
        <w:lastRenderedPageBreak/>
        <w:tab/>
        <w:t>Delete the</w:t>
      </w:r>
      <w:r w:rsidR="000317E7">
        <w:rPr>
          <w:rFonts w:ascii="Times New Roman" w:hAnsi="Times New Roman"/>
        </w:rPr>
        <w:t xml:space="preserve"> eighth</w:t>
      </w:r>
      <w:r w:rsidR="00AA20BD">
        <w:rPr>
          <w:rFonts w:ascii="Times New Roman" w:hAnsi="Times New Roman"/>
        </w:rPr>
        <w:t xml:space="preserve"> and ninth</w:t>
      </w:r>
      <w:r>
        <w:rPr>
          <w:rFonts w:ascii="Times New Roman" w:hAnsi="Times New Roman"/>
        </w:rPr>
        <w:t xml:space="preserve"> paragraph</w:t>
      </w:r>
      <w:r w:rsidR="00AA20BD">
        <w:rPr>
          <w:rFonts w:ascii="Times New Roman" w:hAnsi="Times New Roman"/>
        </w:rPr>
        <w:t>s</w:t>
      </w:r>
      <w:r>
        <w:rPr>
          <w:rFonts w:ascii="Times New Roman" w:hAnsi="Times New Roman"/>
        </w:rPr>
        <w:t xml:space="preserve"> and the</w:t>
      </w:r>
      <w:r w:rsidR="00AA20BD">
        <w:rPr>
          <w:rFonts w:ascii="Times New Roman" w:hAnsi="Times New Roman"/>
        </w:rPr>
        <w:t>ir associated tables</w:t>
      </w:r>
      <w:r>
        <w:rPr>
          <w:rFonts w:ascii="Times New Roman" w:hAnsi="Times New Roman"/>
        </w:rPr>
        <w:t xml:space="preserve"> and insert the following paragraph:</w:t>
      </w:r>
    </w:p>
    <w:p w:rsidR="00F42BC7" w:rsidRDefault="00F42BC7">
      <w:pPr>
        <w:tabs>
          <w:tab w:val="left" w:pos="-720"/>
        </w:tabs>
        <w:suppressAutoHyphens/>
        <w:jc w:val="both"/>
        <w:rPr>
          <w:rFonts w:ascii="Times New Roman" w:hAnsi="Times New Roman"/>
        </w:rPr>
      </w:pPr>
    </w:p>
    <w:p w:rsidR="00F42BC7" w:rsidRDefault="00F42BC7">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The lot will be divided into five approximately equal </w:t>
      </w:r>
      <w:proofErr w:type="spellStart"/>
      <w:r>
        <w:rPr>
          <w:rFonts w:ascii="Times New Roman" w:hAnsi="Times New Roman"/>
        </w:rPr>
        <w:t>sublots</w:t>
      </w:r>
      <w:proofErr w:type="spellEnd"/>
      <w:r>
        <w:rPr>
          <w:rFonts w:ascii="Times New Roman" w:hAnsi="Times New Roman"/>
        </w:rPr>
        <w:t xml:space="preserve"> with one density test taken at random in each </w:t>
      </w:r>
      <w:proofErr w:type="spellStart"/>
      <w:r>
        <w:rPr>
          <w:rFonts w:ascii="Times New Roman" w:hAnsi="Times New Roman"/>
        </w:rPr>
        <w:t>sublot</w:t>
      </w:r>
      <w:proofErr w:type="spellEnd"/>
      <w:r>
        <w:rPr>
          <w:rFonts w:ascii="Times New Roman" w:hAnsi="Times New Roman"/>
        </w:rPr>
        <w:t>.  The individual tests shall equal or exceed 95% density in accordance with ASTM D 1557.</w:t>
      </w:r>
    </w:p>
    <w:p w:rsidR="00F42BC7" w:rsidRDefault="00F42BC7">
      <w:pPr>
        <w:tabs>
          <w:tab w:val="left" w:pos="-720"/>
          <w:tab w:val="left" w:pos="0"/>
          <w:tab w:val="left" w:pos="720"/>
        </w:tabs>
        <w:suppressAutoHyphens/>
        <w:ind w:left="1440" w:hanging="1440"/>
        <w:jc w:val="both"/>
        <w:rPr>
          <w:rFonts w:ascii="Times New Roman" w:hAnsi="Times New Roman"/>
        </w:rPr>
      </w:pPr>
    </w:p>
    <w:p w:rsidR="00F42BC7" w:rsidRDefault="00F42BC7">
      <w:pPr>
        <w:pStyle w:val="Heading2"/>
        <w:tabs>
          <w:tab w:val="clear" w:pos="720"/>
        </w:tabs>
        <w:ind w:left="0" w:firstLine="0"/>
      </w:pPr>
      <w:r>
        <w:t>Subsection 304.04 – Method of Measurement</w:t>
      </w:r>
    </w:p>
    <w:p w:rsidR="00F42BC7" w:rsidRDefault="00F42BC7">
      <w:pPr>
        <w:tabs>
          <w:tab w:val="left" w:pos="-720"/>
          <w:tab w:val="left" w:pos="0"/>
          <w:tab w:val="left" w:pos="720"/>
        </w:tabs>
        <w:suppressAutoHyphens/>
        <w:ind w:left="1440" w:hanging="1440"/>
        <w:jc w:val="both"/>
        <w:rPr>
          <w:rFonts w:ascii="Times New Roman" w:hAnsi="Times New Roman"/>
          <w:b/>
          <w:bCs/>
        </w:rPr>
      </w:pPr>
    </w:p>
    <w:p w:rsidR="00F42BC7" w:rsidRDefault="00F42BC7">
      <w:pPr>
        <w:tabs>
          <w:tab w:val="left" w:pos="-1890"/>
        </w:tabs>
        <w:suppressAutoHyphens/>
        <w:ind w:left="720"/>
        <w:jc w:val="both"/>
        <w:rPr>
          <w:rFonts w:ascii="Times New Roman" w:hAnsi="Times New Roman"/>
        </w:rPr>
      </w:pPr>
      <w:r>
        <w:rPr>
          <w:rFonts w:ascii="Times New Roman" w:hAnsi="Times New Roman"/>
        </w:rPr>
        <w:t>Add the following paragraphs after the final paragraph of Subsection 304.04:</w:t>
      </w:r>
    </w:p>
    <w:p w:rsidR="00F42BC7" w:rsidRDefault="00F42BC7">
      <w:pPr>
        <w:tabs>
          <w:tab w:val="left" w:pos="-1890"/>
        </w:tabs>
        <w:suppressAutoHyphens/>
        <w:ind w:left="720"/>
        <w:jc w:val="both"/>
        <w:rPr>
          <w:rFonts w:ascii="Times New Roman" w:hAnsi="Times New Roman"/>
        </w:rPr>
      </w:pPr>
    </w:p>
    <w:p w:rsidR="00F42BC7" w:rsidRDefault="00F42BC7">
      <w:pPr>
        <w:pStyle w:val="BodyTextIndent"/>
      </w:pPr>
      <w:r>
        <w:t>Accepted quantities of stabilizer aggregate and “610” limestone will be measured by volume by the cubic yard (FM) as designated in the bid schedule of the contract.</w:t>
      </w:r>
    </w:p>
    <w:p w:rsidR="00F42BC7" w:rsidRDefault="00F42BC7">
      <w:pPr>
        <w:tabs>
          <w:tab w:val="left" w:pos="-720"/>
        </w:tabs>
        <w:suppressAutoHyphens/>
        <w:ind w:left="1440"/>
        <w:jc w:val="both"/>
        <w:rPr>
          <w:rFonts w:ascii="Times New Roman" w:hAnsi="Times New Roman"/>
        </w:rPr>
      </w:pPr>
    </w:p>
    <w:p w:rsidR="00F42BC7" w:rsidRDefault="00F42BC7">
      <w:pPr>
        <w:pStyle w:val="BodyTextIndent"/>
      </w:pPr>
      <w:r>
        <w:t>Stabilizer aggregate (gravel) for pipe bedding shall be computed as follows; horizontally one foot each side of the pipe, vertically six inches below the pipe plus one-half the nominal size of the pipe.  This area times the linear feet of pipe shall be used for determining the volume.  Bedding under drainage structures and sewer manholes shall be measured by volume including one foot around the base and six inches thick.  Aggregate outside these limits shall not be measured for payment.  Area of the structure or pipe being bedded shall not be included in the calculation for bedding quantity.</w:t>
      </w:r>
    </w:p>
    <w:p w:rsidR="00B56115" w:rsidRDefault="00B56115">
      <w:pPr>
        <w:pStyle w:val="BodyTextIndent"/>
      </w:pPr>
    </w:p>
    <w:p w:rsidR="00B56115" w:rsidRDefault="00B56115">
      <w:pPr>
        <w:pStyle w:val="BodyTextIndent"/>
      </w:pPr>
      <w:r>
        <w:t>Stabilizer aggregate (gravel) for filter material shall be computed from the lines and grades shown on the plans.</w:t>
      </w:r>
      <w:r w:rsidR="00274C25">
        <w:t xml:space="preserve">  The volume of the pipe displacement shall be deducted from the quantity calculations for filter material.</w:t>
      </w:r>
    </w:p>
    <w:p w:rsidR="00F42BC7" w:rsidRDefault="00F42BC7">
      <w:pPr>
        <w:tabs>
          <w:tab w:val="left" w:pos="-720"/>
        </w:tabs>
        <w:suppressAutoHyphens/>
        <w:ind w:left="1440"/>
        <w:jc w:val="both"/>
        <w:rPr>
          <w:rFonts w:ascii="Times New Roman" w:hAnsi="Times New Roman"/>
        </w:rPr>
      </w:pPr>
    </w:p>
    <w:p w:rsidR="00F42BC7" w:rsidRDefault="00F42BC7">
      <w:pPr>
        <w:tabs>
          <w:tab w:val="left" w:pos="-720"/>
          <w:tab w:val="left" w:pos="0"/>
          <w:tab w:val="left" w:pos="720"/>
        </w:tabs>
        <w:suppressAutoHyphens/>
        <w:ind w:left="1440"/>
        <w:jc w:val="both"/>
        <w:rPr>
          <w:rFonts w:ascii="Times New Roman" w:hAnsi="Times New Roman"/>
        </w:rPr>
      </w:pPr>
      <w:r>
        <w:rPr>
          <w:rFonts w:ascii="Times New Roman" w:hAnsi="Times New Roman"/>
        </w:rPr>
        <w:t>“610” limestone shall be computed from the dimensions on the typical section and the established lines and grades, within the tolerances allowable under Section 907-321.</w:t>
      </w:r>
    </w:p>
    <w:p w:rsidR="00F42BC7" w:rsidRDefault="00F42BC7">
      <w:pPr>
        <w:tabs>
          <w:tab w:val="left" w:pos="-720"/>
        </w:tabs>
        <w:suppressAutoHyphens/>
        <w:ind w:left="1440"/>
        <w:jc w:val="both"/>
        <w:rPr>
          <w:rFonts w:ascii="Times New Roman" w:hAnsi="Times New Roman"/>
        </w:rPr>
      </w:pPr>
    </w:p>
    <w:p w:rsidR="00F42BC7" w:rsidRDefault="00F42BC7">
      <w:pPr>
        <w:tabs>
          <w:tab w:val="left" w:pos="-720"/>
          <w:tab w:val="left" w:pos="0"/>
          <w:tab w:val="left" w:pos="720"/>
        </w:tabs>
        <w:suppressAutoHyphens/>
        <w:ind w:left="1440"/>
        <w:jc w:val="both"/>
        <w:rPr>
          <w:rFonts w:ascii="Times New Roman" w:hAnsi="Times New Roman"/>
        </w:rPr>
      </w:pPr>
      <w:r>
        <w:rPr>
          <w:rFonts w:ascii="Times New Roman" w:hAnsi="Times New Roman"/>
        </w:rPr>
        <w:t>If the Contractor elects to use “610” limestone to maintain the flow of traffic during construction it will not be measured for separate payment.</w:t>
      </w:r>
    </w:p>
    <w:p w:rsidR="00F42BC7" w:rsidRDefault="00F42BC7">
      <w:pPr>
        <w:tabs>
          <w:tab w:val="left" w:pos="-1890"/>
        </w:tabs>
        <w:suppressAutoHyphens/>
        <w:ind w:left="1440"/>
        <w:jc w:val="both"/>
        <w:rPr>
          <w:rFonts w:ascii="Times New Roman" w:hAnsi="Times New Roman"/>
        </w:rPr>
      </w:pPr>
    </w:p>
    <w:p w:rsidR="00F42BC7" w:rsidRDefault="00F42BC7">
      <w:pPr>
        <w:pStyle w:val="Heading1"/>
        <w:tabs>
          <w:tab w:val="clear" w:pos="-720"/>
          <w:tab w:val="left" w:pos="-1890"/>
        </w:tabs>
      </w:pPr>
      <w:r>
        <w:t>Subsection 304.05 – Basis of Payment</w:t>
      </w:r>
    </w:p>
    <w:p w:rsidR="00F42BC7" w:rsidRDefault="00F42BC7">
      <w:pPr>
        <w:tabs>
          <w:tab w:val="left" w:pos="-1890"/>
        </w:tabs>
        <w:suppressAutoHyphens/>
        <w:jc w:val="both"/>
        <w:rPr>
          <w:rFonts w:ascii="Times New Roman" w:hAnsi="Times New Roman"/>
          <w:b/>
          <w:bCs/>
        </w:rPr>
      </w:pPr>
    </w:p>
    <w:p w:rsidR="00F42BC7" w:rsidRDefault="00AA20BD">
      <w:pPr>
        <w:pStyle w:val="BodyTextIndent2"/>
      </w:pPr>
      <w:r>
        <w:t>Under the heading</w:t>
      </w:r>
      <w:r w:rsidR="00F42BC7">
        <w:t xml:space="preserve"> “Payment will be made under”</w:t>
      </w:r>
      <w:r>
        <w:t xml:space="preserve"> </w:t>
      </w:r>
      <w:r w:rsidR="008E52F5">
        <w:t xml:space="preserve"> delete pay items 304-F, 304-G, and 304H.  And add </w:t>
      </w:r>
      <w:r>
        <w:t>at the end of the other pay items</w:t>
      </w:r>
      <w:r w:rsidR="00F42BC7">
        <w:t xml:space="preserve">, </w:t>
      </w:r>
      <w:bookmarkStart w:id="0" w:name="_GoBack"/>
      <w:bookmarkEnd w:id="0"/>
      <w:r w:rsidR="00F42BC7">
        <w:t>the following pay item numbers:</w:t>
      </w:r>
    </w:p>
    <w:p w:rsidR="00F42BC7" w:rsidRDefault="00F42BC7">
      <w:pPr>
        <w:tabs>
          <w:tab w:val="left" w:pos="-1890"/>
        </w:tabs>
        <w:suppressAutoHyphens/>
        <w:ind w:left="720"/>
        <w:jc w:val="both"/>
        <w:rPr>
          <w:rFonts w:ascii="Times New Roman" w:hAnsi="Times New Roman"/>
        </w:rPr>
      </w:pPr>
    </w:p>
    <w:p w:rsidR="00C4491E" w:rsidRDefault="00F42BC7" w:rsidP="00C644BC">
      <w:pPr>
        <w:tabs>
          <w:tab w:val="left" w:pos="-1890"/>
        </w:tabs>
        <w:suppressAutoHyphens/>
        <w:ind w:left="1440"/>
        <w:jc w:val="both"/>
        <w:rPr>
          <w:rFonts w:ascii="Times New Roman" w:hAnsi="Times New Roman"/>
        </w:rPr>
      </w:pPr>
      <w:r>
        <w:rPr>
          <w:rFonts w:ascii="Times New Roman" w:hAnsi="Times New Roman"/>
        </w:rPr>
        <w:t>907-304-</w:t>
      </w:r>
      <w:r w:rsidR="00AA20BD">
        <w:rPr>
          <w:rFonts w:ascii="Times New Roman" w:hAnsi="Times New Roman"/>
        </w:rPr>
        <w:t>I</w:t>
      </w:r>
      <w:r>
        <w:rPr>
          <w:rFonts w:ascii="Times New Roman" w:hAnsi="Times New Roman"/>
        </w:rPr>
        <w:t>:</w:t>
      </w:r>
      <w:r>
        <w:rPr>
          <w:rFonts w:ascii="Times New Roman" w:hAnsi="Times New Roman"/>
        </w:rPr>
        <w:tab/>
        <w:t>Size II Stabilizer Aggregate (Gravel)(FM)</w:t>
      </w:r>
      <w:r>
        <w:rPr>
          <w:rFonts w:ascii="Times New Roman" w:hAnsi="Times New Roman"/>
        </w:rPr>
        <w:tab/>
        <w:t>- per cubic yard</w:t>
      </w:r>
    </w:p>
    <w:p w:rsidR="00F42BC7" w:rsidRDefault="00F42BC7">
      <w:pPr>
        <w:tabs>
          <w:tab w:val="left" w:pos="-1890"/>
        </w:tabs>
        <w:suppressAutoHyphens/>
        <w:ind w:left="1440"/>
        <w:jc w:val="both"/>
        <w:rPr>
          <w:rFonts w:ascii="Times New Roman" w:hAnsi="Times New Roman"/>
        </w:rPr>
      </w:pPr>
      <w:r>
        <w:rPr>
          <w:rFonts w:ascii="Times New Roman" w:hAnsi="Times New Roman"/>
        </w:rPr>
        <w:t>907-304-</w:t>
      </w:r>
      <w:r w:rsidR="00AA20BD">
        <w:rPr>
          <w:rFonts w:ascii="Times New Roman" w:hAnsi="Times New Roman"/>
        </w:rPr>
        <w:t>J</w:t>
      </w:r>
      <w:r>
        <w:rPr>
          <w:rFonts w:ascii="Times New Roman" w:hAnsi="Times New Roman"/>
        </w:rPr>
        <w:t>:</w:t>
      </w:r>
      <w:r>
        <w:rPr>
          <w:rFonts w:ascii="Times New Roman" w:hAnsi="Times New Roman"/>
        </w:rPr>
        <w:tab/>
        <w:t>“610” Limestone (FM)</w:t>
      </w:r>
      <w:r>
        <w:rPr>
          <w:rFonts w:ascii="Times New Roman" w:hAnsi="Times New Roman"/>
        </w:rPr>
        <w:tab/>
      </w:r>
      <w:r>
        <w:rPr>
          <w:rFonts w:ascii="Times New Roman" w:hAnsi="Times New Roman"/>
        </w:rPr>
        <w:tab/>
      </w:r>
      <w:r>
        <w:rPr>
          <w:rFonts w:ascii="Times New Roman" w:hAnsi="Times New Roman"/>
        </w:rPr>
        <w:tab/>
        <w:t>- per cubic yard</w:t>
      </w:r>
    </w:p>
    <w:sectPr w:rsidR="00F42BC7" w:rsidSect="00C4491E">
      <w:headerReference w:type="default" r:id="rId6"/>
      <w:footerReference w:type="default" r:id="rId7"/>
      <w:headerReference w:type="first" r:id="rId8"/>
      <w:footerReference w:type="first" r:id="rId9"/>
      <w:endnotePr>
        <w:numFmt w:val="decimal"/>
      </w:endnotePr>
      <w:pgSz w:w="12240" w:h="15840" w:code="1"/>
      <w:pgMar w:top="720" w:right="1440" w:bottom="36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5F59" w:rsidRDefault="004E5F59">
      <w:pPr>
        <w:spacing w:line="20" w:lineRule="exact"/>
      </w:pPr>
    </w:p>
  </w:endnote>
  <w:endnote w:type="continuationSeparator" w:id="0">
    <w:p w:rsidR="004E5F59" w:rsidRDefault="004E5F59">
      <w:r>
        <w:t xml:space="preserve"> </w:t>
      </w:r>
    </w:p>
  </w:endnote>
  <w:endnote w:type="continuationNotice" w:id="1">
    <w:p w:rsidR="004E5F59" w:rsidRDefault="004E5F59">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EF" w:rsidRDefault="00EA19EF">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EA19EF" w:rsidRDefault="00EA19EF">
    <w:pPr>
      <w:pStyle w:val="Footer"/>
      <w:jc w:val="center"/>
      <w:rPr>
        <w:rFonts w:ascii="Times New Roman" w:hAnsi="Times New Roman"/>
      </w:rPr>
    </w:pPr>
    <w:r>
      <w:rPr>
        <w:rFonts w:ascii="Times New Roman" w:hAnsi="Times New Roman"/>
      </w:rPr>
      <w:t>Granular Courses</w:t>
    </w:r>
  </w:p>
  <w:p w:rsidR="00EA19EF" w:rsidRDefault="00EA19EF">
    <w:pPr>
      <w:pStyle w:val="Footer"/>
      <w:jc w:val="center"/>
      <w:rPr>
        <w:rFonts w:ascii="Times New Roman" w:hAnsi="Times New Roman"/>
      </w:rPr>
    </w:pPr>
    <w:r>
      <w:rPr>
        <w:rFonts w:ascii="Times New Roman" w:hAnsi="Times New Roman"/>
      </w:rPr>
      <w:t>Section 907-304-1</w:t>
    </w:r>
  </w:p>
  <w:p w:rsidR="00EA19EF" w:rsidRDefault="00EA19EF">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8E52F5">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8E52F5">
      <w:rPr>
        <w:rStyle w:val="PageNumber"/>
        <w:rFonts w:ascii="Times New Roman" w:hAnsi="Times New Roman"/>
        <w:noProof/>
      </w:rPr>
      <w:t>2</w:t>
    </w:r>
    <w:r>
      <w:rPr>
        <w:rStyle w:val="PageNumbe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EF" w:rsidRDefault="00EA19EF">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EA19EF" w:rsidRDefault="00EA19EF">
    <w:pPr>
      <w:pStyle w:val="Footer"/>
      <w:jc w:val="center"/>
      <w:rPr>
        <w:rFonts w:ascii="Times New Roman" w:hAnsi="Times New Roman"/>
      </w:rPr>
    </w:pPr>
    <w:r>
      <w:rPr>
        <w:rFonts w:ascii="Times New Roman" w:hAnsi="Times New Roman"/>
      </w:rPr>
      <w:t>Granular Courses</w:t>
    </w:r>
  </w:p>
  <w:p w:rsidR="00EA19EF" w:rsidRDefault="00EA19EF">
    <w:pPr>
      <w:pStyle w:val="Footer"/>
      <w:jc w:val="center"/>
      <w:rPr>
        <w:rFonts w:ascii="Times New Roman" w:hAnsi="Times New Roman"/>
      </w:rPr>
    </w:pPr>
    <w:r>
      <w:rPr>
        <w:rFonts w:ascii="Times New Roman" w:hAnsi="Times New Roman"/>
      </w:rPr>
      <w:t>Section 907-304-1</w:t>
    </w:r>
  </w:p>
  <w:p w:rsidR="00EA19EF" w:rsidRDefault="00EA19EF">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8E52F5">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8E52F5">
      <w:rPr>
        <w:rStyle w:val="PageNumber"/>
        <w:rFonts w:ascii="Times New Roman" w:hAnsi="Times New Roman"/>
        <w:noProof/>
      </w:rPr>
      <w:t>2</w:t>
    </w:r>
    <w:r>
      <w:rPr>
        <w:rStyle w:val="PageNumber"/>
        <w:rFonts w:ascii="Times New Roman" w:hAnsi="Times New Roman"/>
      </w:rPr>
      <w:fldChar w:fldCharType="end"/>
    </w:r>
  </w:p>
  <w:p w:rsidR="00EA19EF" w:rsidRDefault="00EA19EF">
    <w:pPr>
      <w:pStyle w:val="Footer"/>
      <w:jc w:val="center"/>
      <w:rPr>
        <w:rFonts w:ascii="Times New Roman" w:hAnsi="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5F59" w:rsidRDefault="004E5F59">
      <w:r>
        <w:separator/>
      </w:r>
    </w:p>
  </w:footnote>
  <w:footnote w:type="continuationSeparator" w:id="0">
    <w:p w:rsidR="004E5F59" w:rsidRDefault="004E5F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EF" w:rsidRDefault="00EA19EF">
    <w:pPr>
      <w:pStyle w:val="Header"/>
      <w:rPr>
        <w:rFonts w:ascii="Times New Roman" w:hAnsi="Times New Roman"/>
      </w:rPr>
    </w:pPr>
    <w:r>
      <w:rPr>
        <w:rFonts w:ascii="Times New Roman" w:hAnsi="Times New Roman"/>
      </w:rPr>
      <w:t>GRANULAR COURSES (Continued)</w:t>
    </w:r>
  </w:p>
  <w:p w:rsidR="00EA19EF" w:rsidRDefault="00EA19EF">
    <w:pPr>
      <w:pStyle w:val="Header"/>
      <w:rPr>
        <w:rFonts w:ascii="Times New Roman" w:hAnsi="Times New Roman"/>
        <w:b/>
        <w:bCs/>
      </w:rPr>
    </w:pPr>
    <w:r>
      <w:rPr>
        <w:rFonts w:ascii="Times New Roman" w:hAnsi="Times New Roman"/>
        <w:b/>
        <w:bCs/>
      </w:rPr>
      <w:t>______________________________________________________________________________</w:t>
    </w:r>
  </w:p>
  <w:p w:rsidR="00EA19EF" w:rsidRDefault="00EA19EF">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19EF" w:rsidRDefault="00EA19EF">
    <w:pPr>
      <w:pStyle w:val="Header"/>
      <w:rPr>
        <w:rFonts w:ascii="Times New Roman" w:hAnsi="Times New Roman"/>
        <w:b/>
        <w:bCs/>
      </w:rPr>
    </w:pPr>
    <w:r>
      <w:rPr>
        <w:rFonts w:ascii="Times New Roman" w:hAnsi="Times New Roman"/>
        <w:b/>
        <w:bCs/>
      </w:rPr>
      <w:t>______________________________________________________________________________</w:t>
    </w:r>
  </w:p>
  <w:p w:rsidR="00EA19EF" w:rsidRDefault="00EA19EF">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115"/>
    <w:rsid w:val="000317E7"/>
    <w:rsid w:val="001F66EF"/>
    <w:rsid w:val="00274C25"/>
    <w:rsid w:val="00296C18"/>
    <w:rsid w:val="00321008"/>
    <w:rsid w:val="00440597"/>
    <w:rsid w:val="004E06FB"/>
    <w:rsid w:val="004E5F59"/>
    <w:rsid w:val="005D06F6"/>
    <w:rsid w:val="006C3DD6"/>
    <w:rsid w:val="007322D4"/>
    <w:rsid w:val="007A48A9"/>
    <w:rsid w:val="007B099F"/>
    <w:rsid w:val="008A7E8F"/>
    <w:rsid w:val="008E52F5"/>
    <w:rsid w:val="00AA20BD"/>
    <w:rsid w:val="00B56115"/>
    <w:rsid w:val="00C40619"/>
    <w:rsid w:val="00C4491E"/>
    <w:rsid w:val="00C644BC"/>
    <w:rsid w:val="00CF4F06"/>
    <w:rsid w:val="00E44FE6"/>
    <w:rsid w:val="00E527CB"/>
    <w:rsid w:val="00E67BC7"/>
    <w:rsid w:val="00E9666E"/>
    <w:rsid w:val="00EA19EF"/>
    <w:rsid w:val="00F42BC7"/>
    <w:rsid w:val="00F967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15:docId w15:val="{C95A4FEA-EAC5-4CF2-BAAB-A468657CA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paragraph" w:styleId="Heading2">
    <w:name w:val="heading 2"/>
    <w:basedOn w:val="Normal"/>
    <w:next w:val="Normal"/>
    <w:qFormat/>
    <w:pPr>
      <w:keepNext/>
      <w:tabs>
        <w:tab w:val="left" w:pos="-720"/>
        <w:tab w:val="left" w:pos="0"/>
        <w:tab w:val="left" w:pos="720"/>
      </w:tabs>
      <w:suppressAutoHyphens/>
      <w:ind w:left="1440" w:hanging="1440"/>
      <w:jc w:val="both"/>
      <w:outlineLvl w:val="1"/>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tabs>
        <w:tab w:val="left" w:pos="-720"/>
        <w:tab w:val="left" w:pos="0"/>
        <w:tab w:val="left" w:pos="720"/>
      </w:tabs>
      <w:suppressAutoHyphens/>
      <w:ind w:left="1440"/>
      <w:jc w:val="both"/>
    </w:pPr>
    <w:rPr>
      <w:rFonts w:ascii="Times New Roman" w:hAnsi="Times New Roman"/>
    </w:rPr>
  </w:style>
  <w:style w:type="paragraph" w:styleId="BodyTextIndent2">
    <w:name w:val="Body Text Indent 2"/>
    <w:basedOn w:val="Normal"/>
    <w:pPr>
      <w:tabs>
        <w:tab w:val="left" w:pos="-1890"/>
      </w:tabs>
      <w:suppressAutoHyphens/>
      <w:ind w:left="720"/>
      <w:jc w:val="both"/>
    </w:pPr>
    <w:rPr>
      <w:rFonts w:ascii="Times New Roman" w:hAnsi="Times New Roman"/>
    </w:rPr>
  </w:style>
  <w:style w:type="paragraph" w:styleId="BalloonText">
    <w:name w:val="Balloon Text"/>
    <w:basedOn w:val="Normal"/>
    <w:link w:val="BalloonTextChar"/>
    <w:uiPriority w:val="99"/>
    <w:semiHidden/>
    <w:unhideWhenUsed/>
    <w:rsid w:val="00E9666E"/>
    <w:rPr>
      <w:rFonts w:ascii="Tahoma" w:hAnsi="Tahoma" w:cs="Tahoma"/>
      <w:sz w:val="16"/>
      <w:szCs w:val="16"/>
    </w:rPr>
  </w:style>
  <w:style w:type="character" w:customStyle="1" w:styleId="BalloonTextChar">
    <w:name w:val="Balloon Text Char"/>
    <w:link w:val="BalloonText"/>
    <w:uiPriority w:val="99"/>
    <w:semiHidden/>
    <w:rsid w:val="00E966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2</Pages>
  <Words>491</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 Department</Company>
  <LinksUpToDate>false</LinksUpToDate>
  <CharactersWithSpaces>3377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5</cp:revision>
  <cp:lastPrinted>2012-01-19T20:53:00Z</cp:lastPrinted>
  <dcterms:created xsi:type="dcterms:W3CDTF">2017-06-15T21:04:00Z</dcterms:created>
  <dcterms:modified xsi:type="dcterms:W3CDTF">2017-10-30T13:14:00Z</dcterms:modified>
</cp:coreProperties>
</file>